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AB" w:rsidRPr="006E25AB" w:rsidRDefault="006E25AB" w:rsidP="006E25AB">
      <w:pPr>
        <w:spacing w:line="300" w:lineRule="atLeast"/>
        <w:jc w:val="left"/>
        <w:rPr>
          <w:rFonts w:ascii="仿宋_GB2312" w:eastAsia="仿宋_GB2312" w:hAnsi="仿宋" w:cs="仿宋"/>
          <w:bCs/>
          <w:kern w:val="0"/>
          <w:sz w:val="32"/>
          <w:szCs w:val="32"/>
        </w:rPr>
      </w:pPr>
      <w:r w:rsidRPr="006E25AB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附件5</w:t>
      </w:r>
    </w:p>
    <w:p w:rsidR="00301EA9" w:rsidRPr="005F46BC" w:rsidRDefault="00301EA9" w:rsidP="00301EA9">
      <w:pPr>
        <w:spacing w:line="300" w:lineRule="atLeast"/>
        <w:jc w:val="center"/>
        <w:rPr>
          <w:rFonts w:ascii="方正小标宋简体" w:eastAsia="方正小标宋简体" w:hAnsi="仿宋" w:cs="仿宋"/>
          <w:bCs/>
          <w:kern w:val="0"/>
          <w:sz w:val="40"/>
          <w:szCs w:val="32"/>
        </w:rPr>
      </w:pPr>
      <w:r w:rsidRPr="006E25AB">
        <w:rPr>
          <w:rFonts w:ascii="方正小标宋简体" w:eastAsia="方正小标宋简体" w:hAnsi="仿宋" w:cs="仿宋" w:hint="eastAsia"/>
          <w:bCs/>
          <w:kern w:val="0"/>
          <w:sz w:val="36"/>
          <w:szCs w:val="32"/>
        </w:rPr>
        <w:t>第二十六届“粉体杯”大学生创业大赛评奖细则</w:t>
      </w:r>
    </w:p>
    <w:p w:rsidR="00301EA9" w:rsidRPr="006E25AB" w:rsidRDefault="00301EA9" w:rsidP="006E25AB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仿宋" w:cs="仿宋"/>
          <w:sz w:val="28"/>
          <w:szCs w:val="32"/>
        </w:rPr>
      </w:pPr>
      <w:r w:rsidRPr="006E25AB">
        <w:rPr>
          <w:rFonts w:ascii="仿宋_GB2312" w:eastAsia="仿宋_GB2312" w:hAnsi="仿宋" w:cs="仿宋" w:hint="eastAsia"/>
          <w:sz w:val="28"/>
          <w:szCs w:val="32"/>
        </w:rPr>
        <w:t>一、参赛</w:t>
      </w:r>
      <w:r w:rsidR="005F46BC" w:rsidRPr="006E25AB">
        <w:rPr>
          <w:rFonts w:ascii="仿宋_GB2312" w:eastAsia="仿宋_GB2312" w:hAnsi="仿宋" w:cs="仿宋" w:hint="eastAsia"/>
          <w:sz w:val="28"/>
          <w:szCs w:val="32"/>
        </w:rPr>
        <w:t>项目</w:t>
      </w:r>
      <w:r w:rsidR="004F268C" w:rsidRPr="006E25AB">
        <w:rPr>
          <w:rFonts w:ascii="仿宋_GB2312" w:eastAsia="仿宋_GB2312" w:hAnsi="仿宋" w:cs="仿宋" w:hint="eastAsia"/>
          <w:sz w:val="28"/>
          <w:szCs w:val="32"/>
        </w:rPr>
        <w:t>评奖细则</w:t>
      </w:r>
    </w:p>
    <w:p w:rsidR="00301EA9" w:rsidRPr="006E25AB" w:rsidRDefault="00301EA9" w:rsidP="006E25AB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仿宋" w:cs="仿宋"/>
          <w:sz w:val="28"/>
          <w:szCs w:val="32"/>
        </w:rPr>
      </w:pPr>
      <w:r w:rsidRPr="006E25AB">
        <w:rPr>
          <w:rFonts w:ascii="仿宋_GB2312" w:eastAsia="仿宋_GB2312" w:hAnsi="仿宋" w:cs="仿宋" w:hint="eastAsia"/>
          <w:sz w:val="28"/>
          <w:szCs w:val="32"/>
        </w:rPr>
        <w:t>1.</w:t>
      </w:r>
      <w:r w:rsidR="005F46BC" w:rsidRPr="006E25AB">
        <w:rPr>
          <w:rFonts w:ascii="仿宋_GB2312" w:eastAsia="仿宋_GB2312" w:hAnsi="仿宋" w:cs="仿宋" w:hint="eastAsia"/>
          <w:sz w:val="28"/>
          <w:szCs w:val="32"/>
        </w:rPr>
        <w:t>进入终审决赛的</w:t>
      </w:r>
      <w:r w:rsidRPr="006E25AB">
        <w:rPr>
          <w:rFonts w:ascii="仿宋_GB2312" w:eastAsia="仿宋_GB2312" w:hAnsi="仿宋" w:cs="仿宋" w:hint="eastAsia"/>
          <w:sz w:val="28"/>
          <w:szCs w:val="32"/>
        </w:rPr>
        <w:t>参赛</w:t>
      </w:r>
      <w:r w:rsidR="005F46BC" w:rsidRPr="006E25AB">
        <w:rPr>
          <w:rFonts w:ascii="仿宋_GB2312" w:eastAsia="仿宋_GB2312" w:hAnsi="仿宋" w:cs="仿宋" w:hint="eastAsia"/>
          <w:sz w:val="28"/>
          <w:szCs w:val="32"/>
        </w:rPr>
        <w:t>项目评选</w:t>
      </w:r>
      <w:r w:rsidRPr="006E25AB">
        <w:rPr>
          <w:rFonts w:ascii="仿宋_GB2312" w:eastAsia="仿宋_GB2312" w:hAnsi="仿宋" w:cs="仿宋" w:hint="eastAsia"/>
          <w:sz w:val="28"/>
          <w:szCs w:val="32"/>
        </w:rPr>
        <w:t>包括书面评审和</w:t>
      </w:r>
      <w:r w:rsidR="005F46BC" w:rsidRPr="006E25AB">
        <w:rPr>
          <w:rFonts w:ascii="仿宋_GB2312" w:eastAsia="仿宋_GB2312" w:hAnsi="仿宋" w:cs="仿宋" w:hint="eastAsia"/>
          <w:sz w:val="28"/>
          <w:szCs w:val="32"/>
        </w:rPr>
        <w:t>终审答辩</w:t>
      </w:r>
      <w:r w:rsidRPr="006E25AB">
        <w:rPr>
          <w:rFonts w:ascii="仿宋_GB2312" w:eastAsia="仿宋_GB2312" w:hAnsi="仿宋" w:cs="仿宋" w:hint="eastAsia"/>
          <w:sz w:val="28"/>
          <w:szCs w:val="32"/>
        </w:rPr>
        <w:t>两个评审环节，其中取书面评审成绩</w:t>
      </w:r>
      <w:r w:rsidR="005F46BC" w:rsidRPr="006E25AB">
        <w:rPr>
          <w:rFonts w:ascii="仿宋_GB2312" w:eastAsia="仿宋_GB2312" w:hAnsi="仿宋" w:cs="仿宋" w:hint="eastAsia"/>
          <w:sz w:val="28"/>
          <w:szCs w:val="32"/>
        </w:rPr>
        <w:t>5</w:t>
      </w:r>
      <w:r w:rsidRPr="006E25AB">
        <w:rPr>
          <w:rFonts w:ascii="仿宋_GB2312" w:eastAsia="仿宋_GB2312" w:hAnsi="仿宋" w:cs="仿宋" w:hint="eastAsia"/>
          <w:sz w:val="28"/>
          <w:szCs w:val="32"/>
        </w:rPr>
        <w:t>0%、</w:t>
      </w:r>
      <w:r w:rsidR="005F46BC" w:rsidRPr="006E25AB">
        <w:rPr>
          <w:rFonts w:ascii="仿宋_GB2312" w:eastAsia="仿宋_GB2312" w:hAnsi="仿宋" w:cs="仿宋" w:hint="eastAsia"/>
          <w:sz w:val="28"/>
          <w:szCs w:val="32"/>
        </w:rPr>
        <w:t>终审答辩</w:t>
      </w:r>
      <w:r w:rsidRPr="006E25AB">
        <w:rPr>
          <w:rFonts w:ascii="仿宋_GB2312" w:eastAsia="仿宋_GB2312" w:hAnsi="仿宋" w:cs="仿宋" w:hint="eastAsia"/>
          <w:sz w:val="28"/>
          <w:szCs w:val="32"/>
        </w:rPr>
        <w:t>成绩</w:t>
      </w:r>
      <w:r w:rsidR="005F46BC" w:rsidRPr="006E25AB">
        <w:rPr>
          <w:rFonts w:ascii="仿宋_GB2312" w:eastAsia="仿宋_GB2312" w:hAnsi="仿宋" w:cs="仿宋" w:hint="eastAsia"/>
          <w:sz w:val="28"/>
          <w:szCs w:val="32"/>
        </w:rPr>
        <w:t>5</w:t>
      </w:r>
      <w:r w:rsidRPr="006E25AB">
        <w:rPr>
          <w:rFonts w:ascii="仿宋_GB2312" w:eastAsia="仿宋_GB2312" w:hAnsi="仿宋" w:cs="仿宋" w:hint="eastAsia"/>
          <w:sz w:val="28"/>
          <w:szCs w:val="32"/>
        </w:rPr>
        <w:t>0%</w:t>
      </w:r>
      <w:r w:rsidR="005F46BC" w:rsidRPr="006E25AB">
        <w:rPr>
          <w:rFonts w:ascii="仿宋_GB2312" w:eastAsia="仿宋_GB2312" w:hAnsi="仿宋" w:cs="仿宋" w:hint="eastAsia"/>
          <w:sz w:val="28"/>
          <w:szCs w:val="32"/>
        </w:rPr>
        <w:t>,</w:t>
      </w:r>
      <w:r w:rsidRPr="006E25AB">
        <w:rPr>
          <w:rFonts w:ascii="仿宋_GB2312" w:eastAsia="仿宋_GB2312" w:hAnsi="仿宋" w:cs="仿宋" w:hint="eastAsia"/>
          <w:sz w:val="28"/>
          <w:szCs w:val="32"/>
        </w:rPr>
        <w:t>两个环节成绩之和为该</w:t>
      </w:r>
      <w:r w:rsidR="005F46BC" w:rsidRPr="006E25AB">
        <w:rPr>
          <w:rFonts w:ascii="仿宋_GB2312" w:eastAsia="仿宋_GB2312" w:hAnsi="仿宋" w:cs="仿宋" w:hint="eastAsia"/>
          <w:sz w:val="28"/>
          <w:szCs w:val="32"/>
        </w:rPr>
        <w:t>参赛项目最终</w:t>
      </w:r>
      <w:r w:rsidRPr="006E25AB">
        <w:rPr>
          <w:rFonts w:ascii="仿宋_GB2312" w:eastAsia="仿宋_GB2312" w:hAnsi="仿宋" w:cs="仿宋" w:hint="eastAsia"/>
          <w:sz w:val="28"/>
          <w:szCs w:val="32"/>
        </w:rPr>
        <w:t>成绩。</w:t>
      </w:r>
    </w:p>
    <w:p w:rsidR="00301EA9" w:rsidRPr="006E25AB" w:rsidRDefault="00301EA9" w:rsidP="006E25AB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仿宋" w:cs="仿宋"/>
          <w:sz w:val="28"/>
          <w:szCs w:val="32"/>
        </w:rPr>
      </w:pPr>
      <w:r w:rsidRPr="006E25AB">
        <w:rPr>
          <w:rFonts w:ascii="仿宋_GB2312" w:eastAsia="仿宋_GB2312" w:hAnsi="仿宋" w:cs="仿宋" w:hint="eastAsia"/>
          <w:sz w:val="28"/>
          <w:szCs w:val="32"/>
        </w:rPr>
        <w:t>2.</w:t>
      </w:r>
      <w:r w:rsidR="005F46BC" w:rsidRPr="006E25AB">
        <w:rPr>
          <w:rFonts w:ascii="仿宋_GB2312" w:eastAsia="仿宋_GB2312" w:hAnsi="仿宋" w:cs="仿宋" w:hint="eastAsia"/>
          <w:sz w:val="28"/>
          <w:szCs w:val="32"/>
        </w:rPr>
        <w:t>参赛项目按类别</w:t>
      </w:r>
      <w:r w:rsidRPr="006E25AB">
        <w:rPr>
          <w:rFonts w:ascii="仿宋_GB2312" w:eastAsia="仿宋_GB2312" w:hAnsi="仿宋" w:cs="仿宋" w:hint="eastAsia"/>
          <w:sz w:val="28"/>
          <w:szCs w:val="32"/>
        </w:rPr>
        <w:t>依据成绩设</w:t>
      </w:r>
      <w:r w:rsidR="005F46BC" w:rsidRPr="006E25AB">
        <w:rPr>
          <w:rFonts w:ascii="仿宋_GB2312" w:eastAsia="仿宋_GB2312" w:hAnsi="仿宋" w:cs="仿宋" w:hint="eastAsia"/>
          <w:sz w:val="28"/>
          <w:szCs w:val="32"/>
        </w:rPr>
        <w:t>金奖</w:t>
      </w:r>
      <w:r w:rsidRPr="006E25AB">
        <w:rPr>
          <w:rFonts w:ascii="仿宋_GB2312" w:eastAsia="仿宋_GB2312" w:hAnsi="仿宋" w:cs="仿宋" w:hint="eastAsia"/>
          <w:sz w:val="28"/>
          <w:szCs w:val="32"/>
        </w:rPr>
        <w:t>、</w:t>
      </w:r>
      <w:r w:rsidR="005F46BC" w:rsidRPr="006E25AB">
        <w:rPr>
          <w:rFonts w:ascii="仿宋_GB2312" w:eastAsia="仿宋_GB2312" w:hAnsi="仿宋" w:cs="仿宋" w:hint="eastAsia"/>
          <w:sz w:val="28"/>
          <w:szCs w:val="32"/>
        </w:rPr>
        <w:t>银奖、铜</w:t>
      </w:r>
      <w:r w:rsidRPr="006E25AB">
        <w:rPr>
          <w:rFonts w:ascii="仿宋_GB2312" w:eastAsia="仿宋_GB2312" w:hAnsi="仿宋" w:cs="仿宋" w:hint="eastAsia"/>
          <w:sz w:val="28"/>
          <w:szCs w:val="32"/>
        </w:rPr>
        <w:t>奖，</w:t>
      </w:r>
      <w:r w:rsidR="005F46BC" w:rsidRPr="006E25AB">
        <w:rPr>
          <w:rFonts w:ascii="仿宋_GB2312" w:eastAsia="仿宋_GB2312" w:hAnsi="仿宋" w:cs="仿宋" w:hint="eastAsia"/>
          <w:sz w:val="28"/>
          <w:szCs w:val="32"/>
        </w:rPr>
        <w:t>设奖比例根据进入终审决赛参赛项目数量和质量，由竞赛组委会确定</w:t>
      </w:r>
      <w:r w:rsidRPr="006E25AB">
        <w:rPr>
          <w:rFonts w:ascii="仿宋_GB2312" w:eastAsia="仿宋_GB2312" w:hAnsi="仿宋" w:cs="仿宋" w:hint="eastAsia"/>
          <w:sz w:val="28"/>
          <w:szCs w:val="32"/>
        </w:rPr>
        <w:t>。</w:t>
      </w:r>
    </w:p>
    <w:p w:rsidR="00301EA9" w:rsidRPr="006E25AB" w:rsidRDefault="004F268C" w:rsidP="006E25AB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仿宋" w:cs="仿宋"/>
          <w:sz w:val="28"/>
          <w:szCs w:val="32"/>
        </w:rPr>
      </w:pPr>
      <w:r w:rsidRPr="006E25AB">
        <w:rPr>
          <w:rFonts w:ascii="仿宋_GB2312" w:eastAsia="仿宋_GB2312" w:hAnsi="仿宋" w:cs="仿宋" w:hint="eastAsia"/>
          <w:sz w:val="28"/>
          <w:szCs w:val="32"/>
        </w:rPr>
        <w:t>二、申报单位评奖细则</w:t>
      </w:r>
    </w:p>
    <w:p w:rsidR="005F46BC" w:rsidRPr="006E25AB" w:rsidRDefault="00301EA9" w:rsidP="006E25AB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仿宋" w:cs="仿宋"/>
          <w:sz w:val="28"/>
          <w:szCs w:val="32"/>
        </w:rPr>
      </w:pPr>
      <w:r w:rsidRPr="006E25AB">
        <w:rPr>
          <w:rFonts w:ascii="仿宋_GB2312" w:eastAsia="仿宋_GB2312" w:hAnsi="仿宋" w:cs="仿宋" w:hint="eastAsia"/>
          <w:sz w:val="28"/>
          <w:szCs w:val="32"/>
        </w:rPr>
        <w:t>1.</w:t>
      </w:r>
      <w:r w:rsidR="005F46BC" w:rsidRPr="006E25AB">
        <w:rPr>
          <w:rFonts w:ascii="仿宋_GB2312" w:eastAsia="仿宋_GB2312" w:hAnsi="仿宋" w:cs="仿宋" w:hint="eastAsia"/>
          <w:sz w:val="28"/>
          <w:szCs w:val="32"/>
        </w:rPr>
        <w:t xml:space="preserve"> 大赛以学院为申报单位计算参赛得分并排序。各等次奖计分方法如下：金奖项目每件计100分，银奖项目每件计70分，铜奖项目每件计30分，进入终审决赛但未获奖项目每件计20分，进入复审阶段但未进入终审决赛项目每件计10分。如遇总积分相等，则以获金奖的个数决定同一名次内的排序，以此类推至铜奖。</w:t>
      </w:r>
    </w:p>
    <w:p w:rsidR="005F46BC" w:rsidRPr="006E25AB" w:rsidRDefault="00301EA9" w:rsidP="006E25AB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仿宋" w:cs="仿宋"/>
          <w:sz w:val="28"/>
          <w:szCs w:val="32"/>
        </w:rPr>
      </w:pPr>
      <w:r w:rsidRPr="006E25AB">
        <w:rPr>
          <w:rFonts w:ascii="仿宋_GB2312" w:eastAsia="仿宋_GB2312" w:hAnsi="仿宋" w:cs="仿宋" w:hint="eastAsia"/>
          <w:sz w:val="28"/>
          <w:szCs w:val="32"/>
        </w:rPr>
        <w:t>2.</w:t>
      </w:r>
      <w:r w:rsidR="005F46BC" w:rsidRPr="006E25AB">
        <w:rPr>
          <w:rFonts w:ascii="仿宋_GB2312" w:eastAsia="仿宋_GB2312" w:hAnsi="仿宋" w:cs="仿宋" w:hint="eastAsia"/>
          <w:sz w:val="28"/>
          <w:szCs w:val="32"/>
        </w:rPr>
        <w:t>竞赛设置“粉体杯”和“优秀组织奖”集体奖项。</w:t>
      </w:r>
      <w:r w:rsidR="007B38EC" w:rsidRPr="006E25AB">
        <w:rPr>
          <w:rFonts w:ascii="仿宋_GB2312" w:eastAsia="仿宋_GB2312" w:hAnsi="仿宋" w:cs="仿宋" w:hint="eastAsia"/>
          <w:sz w:val="28"/>
          <w:szCs w:val="32"/>
        </w:rPr>
        <w:t>授予总积分排名第一的学院 “粉体杯”，授予总积分排名第二至第六的学院“优秀组织单位”，</w:t>
      </w:r>
      <w:r w:rsidR="005F46BC" w:rsidRPr="006E25AB">
        <w:rPr>
          <w:rFonts w:ascii="仿宋_GB2312" w:eastAsia="仿宋_GB2312" w:hAnsi="仿宋" w:cs="仿宋" w:hint="eastAsia"/>
          <w:sz w:val="28"/>
          <w:szCs w:val="32"/>
        </w:rPr>
        <w:t>竞赛</w:t>
      </w:r>
      <w:r w:rsidR="007B38EC" w:rsidRPr="006E25AB">
        <w:rPr>
          <w:rFonts w:ascii="仿宋_GB2312" w:eastAsia="仿宋_GB2312" w:hAnsi="仿宋" w:cs="仿宋" w:hint="eastAsia"/>
          <w:sz w:val="28"/>
          <w:szCs w:val="32"/>
        </w:rPr>
        <w:t>组委会</w:t>
      </w:r>
      <w:r w:rsidR="005F46BC" w:rsidRPr="006E25AB">
        <w:rPr>
          <w:rFonts w:ascii="仿宋_GB2312" w:eastAsia="仿宋_GB2312" w:hAnsi="仿宋" w:cs="仿宋" w:hint="eastAsia"/>
          <w:sz w:val="28"/>
          <w:szCs w:val="32"/>
        </w:rPr>
        <w:t>统一颁发证书</w:t>
      </w:r>
      <w:r w:rsidR="007B38EC" w:rsidRPr="006E25AB">
        <w:rPr>
          <w:rFonts w:ascii="仿宋_GB2312" w:eastAsia="仿宋_GB2312" w:hAnsi="仿宋" w:cs="仿宋" w:hint="eastAsia"/>
          <w:sz w:val="28"/>
          <w:szCs w:val="32"/>
        </w:rPr>
        <w:t>、奖杯或奖牌</w:t>
      </w:r>
      <w:r w:rsidR="005F46BC" w:rsidRPr="006E25AB">
        <w:rPr>
          <w:rFonts w:ascii="仿宋_GB2312" w:eastAsia="仿宋_GB2312" w:hAnsi="仿宋" w:cs="仿宋" w:hint="eastAsia"/>
          <w:sz w:val="28"/>
          <w:szCs w:val="32"/>
        </w:rPr>
        <w:t>。</w:t>
      </w:r>
    </w:p>
    <w:p w:rsidR="007B38EC" w:rsidRPr="006E25AB" w:rsidRDefault="004F268C" w:rsidP="006E25AB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仿宋" w:cs="仿宋"/>
          <w:sz w:val="28"/>
          <w:szCs w:val="32"/>
        </w:rPr>
      </w:pPr>
      <w:r w:rsidRPr="006E25AB">
        <w:rPr>
          <w:rFonts w:ascii="仿宋_GB2312" w:eastAsia="仿宋_GB2312" w:hAnsi="仿宋" w:cs="仿宋" w:hint="eastAsia"/>
          <w:sz w:val="28"/>
          <w:szCs w:val="32"/>
        </w:rPr>
        <w:t>三、先进个人评奖细则</w:t>
      </w:r>
    </w:p>
    <w:p w:rsidR="006E25AB" w:rsidRPr="006E25AB" w:rsidRDefault="005F46BC" w:rsidP="006E25AB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仿宋" w:cs="仿宋"/>
          <w:sz w:val="28"/>
          <w:szCs w:val="32"/>
        </w:rPr>
      </w:pPr>
      <w:r w:rsidRPr="006E25AB">
        <w:rPr>
          <w:rFonts w:ascii="仿宋_GB2312" w:eastAsia="仿宋_GB2312" w:hAnsi="仿宋" w:cs="仿宋" w:hint="eastAsia"/>
          <w:sz w:val="28"/>
          <w:szCs w:val="32"/>
        </w:rPr>
        <w:t>竞赛设置优秀指导教师、“粉体杯”科技活动先进个人</w:t>
      </w:r>
      <w:r w:rsidR="007B38EC" w:rsidRPr="006E25AB">
        <w:rPr>
          <w:rFonts w:ascii="仿宋_GB2312" w:eastAsia="仿宋_GB2312" w:hAnsi="仿宋" w:cs="仿宋" w:hint="eastAsia"/>
          <w:sz w:val="28"/>
          <w:szCs w:val="32"/>
        </w:rPr>
        <w:t>和</w:t>
      </w:r>
      <w:r w:rsidRPr="006E25AB">
        <w:rPr>
          <w:rFonts w:ascii="仿宋_GB2312" w:eastAsia="仿宋_GB2312" w:hAnsi="仿宋" w:cs="仿宋" w:hint="eastAsia"/>
          <w:sz w:val="28"/>
          <w:szCs w:val="32"/>
        </w:rPr>
        <w:t>“粉体杯”科技活动先进工作者等</w:t>
      </w:r>
      <w:r w:rsidR="007B38EC" w:rsidRPr="006E25AB">
        <w:rPr>
          <w:rFonts w:ascii="仿宋_GB2312" w:eastAsia="仿宋_GB2312" w:hAnsi="仿宋" w:cs="仿宋" w:hint="eastAsia"/>
          <w:sz w:val="28"/>
          <w:szCs w:val="32"/>
        </w:rPr>
        <w:t>三</w:t>
      </w:r>
      <w:r w:rsidRPr="006E25AB">
        <w:rPr>
          <w:rFonts w:ascii="仿宋_GB2312" w:eastAsia="仿宋_GB2312" w:hAnsi="仿宋" w:cs="仿宋" w:hint="eastAsia"/>
          <w:sz w:val="28"/>
          <w:szCs w:val="32"/>
        </w:rPr>
        <w:t>个</w:t>
      </w:r>
      <w:r w:rsidR="007B38EC" w:rsidRPr="006E25AB">
        <w:rPr>
          <w:rFonts w:ascii="仿宋_GB2312" w:eastAsia="仿宋_GB2312" w:hAnsi="仿宋" w:cs="仿宋" w:hint="eastAsia"/>
          <w:sz w:val="28"/>
          <w:szCs w:val="32"/>
        </w:rPr>
        <w:t>先进</w:t>
      </w:r>
      <w:r w:rsidRPr="006E25AB">
        <w:rPr>
          <w:rFonts w:ascii="仿宋_GB2312" w:eastAsia="仿宋_GB2312" w:hAnsi="仿宋" w:cs="仿宋" w:hint="eastAsia"/>
          <w:sz w:val="28"/>
          <w:szCs w:val="32"/>
        </w:rPr>
        <w:t>个人奖项</w:t>
      </w:r>
      <w:r w:rsidR="007B38EC" w:rsidRPr="006E25AB">
        <w:rPr>
          <w:rFonts w:ascii="仿宋_GB2312" w:eastAsia="仿宋_GB2312" w:hAnsi="仿宋" w:cs="仿宋" w:hint="eastAsia"/>
          <w:sz w:val="28"/>
          <w:szCs w:val="32"/>
        </w:rPr>
        <w:t>，其中“粉体杯”科技活动先进工作者</w:t>
      </w:r>
      <w:r w:rsidR="00C445BE" w:rsidRPr="006E25AB">
        <w:rPr>
          <w:rFonts w:ascii="仿宋_GB2312" w:eastAsia="仿宋_GB2312" w:hAnsi="仿宋" w:cs="仿宋" w:hint="eastAsia"/>
          <w:sz w:val="28"/>
          <w:szCs w:val="32"/>
        </w:rPr>
        <w:t>主要授予竞赛组织过程中表现突出的教师个人，</w:t>
      </w:r>
      <w:r w:rsidR="007B38EC" w:rsidRPr="006E25AB">
        <w:rPr>
          <w:rFonts w:ascii="仿宋_GB2312" w:eastAsia="仿宋_GB2312" w:hAnsi="仿宋" w:cs="仿宋" w:hint="eastAsia"/>
          <w:sz w:val="28"/>
          <w:szCs w:val="32"/>
        </w:rPr>
        <w:t>“粉体杯”科技活动先进个人主要授予竞赛组织过程中表现突出的学生干部</w:t>
      </w:r>
      <w:r w:rsidR="00C445BE" w:rsidRPr="006E25AB">
        <w:rPr>
          <w:rFonts w:ascii="仿宋_GB2312" w:eastAsia="仿宋_GB2312" w:hAnsi="仿宋" w:cs="仿宋" w:hint="eastAsia"/>
          <w:sz w:val="28"/>
          <w:szCs w:val="32"/>
        </w:rPr>
        <w:t>。</w:t>
      </w:r>
    </w:p>
    <w:p w:rsidR="008232A7" w:rsidRDefault="008232A7" w:rsidP="008232A7">
      <w:pPr>
        <w:spacing w:line="360" w:lineRule="auto"/>
        <w:rPr>
          <w:rFonts w:ascii="仿宋_GB2312" w:eastAsia="仿宋_GB2312" w:hAnsi="仿宋" w:cs="仿宋" w:hint="eastAsia"/>
          <w:b/>
          <w:sz w:val="28"/>
          <w:szCs w:val="32"/>
        </w:rPr>
      </w:pPr>
    </w:p>
    <w:p w:rsidR="008232A7" w:rsidRPr="008232A7" w:rsidRDefault="008232A7" w:rsidP="008232A7">
      <w:pPr>
        <w:spacing w:line="360" w:lineRule="auto"/>
        <w:rPr>
          <w:rFonts w:ascii="仿宋_GB2312" w:eastAsia="仿宋_GB2312" w:hAnsi="仿宋" w:cs="仿宋"/>
          <w:color w:val="auto"/>
          <w:sz w:val="32"/>
          <w:szCs w:val="32"/>
        </w:rPr>
      </w:pPr>
      <w:r w:rsidRPr="008232A7">
        <w:rPr>
          <w:rFonts w:ascii="仿宋_GB2312" w:eastAsia="仿宋_GB2312" w:hAnsi="仿宋" w:cs="仿宋" w:hint="eastAsia"/>
          <w:color w:val="auto"/>
          <w:sz w:val="32"/>
          <w:szCs w:val="32"/>
        </w:rPr>
        <w:t>（全文公开）</w:t>
      </w:r>
    </w:p>
    <w:p w:rsidR="008232A7" w:rsidRPr="006E25AB" w:rsidRDefault="008232A7" w:rsidP="008232A7">
      <w:pPr>
        <w:spacing w:line="360" w:lineRule="auto"/>
        <w:rPr>
          <w:rFonts w:ascii="仿宋_GB2312" w:eastAsia="仿宋_GB2312"/>
          <w:b/>
          <w:sz w:val="20"/>
        </w:rPr>
      </w:pPr>
      <w:r w:rsidRPr="008232A7">
        <w:rPr>
          <w:rFonts w:ascii="仿宋_GB2312" w:eastAsia="仿宋_GB2312" w:hAnsi="仿宋" w:cs="仿宋"/>
          <w:color w:val="auto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2.45pt;margin-top:31.8pt;width:445.5pt;height:0;z-index:251660288" o:connectortype="straight" strokeweight="1.25pt"/>
        </w:pict>
      </w:r>
      <w:r w:rsidRPr="008232A7">
        <w:rPr>
          <w:rFonts w:ascii="仿宋_GB2312" w:eastAsia="仿宋_GB2312" w:hAnsi="仿宋" w:cs="仿宋"/>
          <w:color w:val="auto"/>
          <w:sz w:val="32"/>
          <w:szCs w:val="32"/>
        </w:rPr>
        <w:pict>
          <v:shape id="_x0000_s1035" type="#_x0000_t32" style="position:absolute;left:0;text-align:left;margin-left:-2.45pt;margin-top:1.8pt;width:445.5pt;height:0;z-index:251661312" o:connectortype="straight" strokeweight="1.25pt"/>
        </w:pict>
      </w:r>
      <w:r w:rsidRPr="008232A7">
        <w:rPr>
          <w:rFonts w:ascii="仿宋_GB2312" w:eastAsia="仿宋_GB2312" w:hAnsi="仿宋" w:cs="仿宋" w:hint="eastAsia"/>
          <w:color w:val="auto"/>
          <w:sz w:val="32"/>
          <w:szCs w:val="32"/>
        </w:rPr>
        <w:t>共青团西安建筑科技大学委员会      2019年</w:t>
      </w:r>
      <w:r>
        <w:rPr>
          <w:rFonts w:ascii="仿宋_GB2312" w:eastAsia="仿宋_GB2312" w:hAnsi="仿宋" w:cs="仿宋" w:hint="eastAsia"/>
          <w:color w:val="auto"/>
          <w:sz w:val="32"/>
          <w:szCs w:val="32"/>
        </w:rPr>
        <w:t>11</w:t>
      </w:r>
      <w:r w:rsidRPr="008232A7">
        <w:rPr>
          <w:rFonts w:ascii="仿宋_GB2312" w:eastAsia="仿宋_GB2312" w:hAnsi="仿宋" w:cs="仿宋" w:hint="eastAsia"/>
          <w:color w:val="auto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color w:val="auto"/>
          <w:sz w:val="32"/>
          <w:szCs w:val="32"/>
        </w:rPr>
        <w:t>4</w:t>
      </w:r>
      <w:r w:rsidRPr="008232A7">
        <w:rPr>
          <w:rFonts w:ascii="仿宋_GB2312" w:eastAsia="仿宋_GB2312" w:hAnsi="仿宋" w:cs="仿宋" w:hint="eastAsia"/>
          <w:color w:val="auto"/>
          <w:sz w:val="32"/>
          <w:szCs w:val="32"/>
        </w:rPr>
        <w:t>日印发</w:t>
      </w:r>
    </w:p>
    <w:sectPr w:rsidR="008232A7" w:rsidRPr="006E25AB" w:rsidSect="006E25AB">
      <w:pgSz w:w="11906" w:h="16838" w:code="9"/>
      <w:pgMar w:top="1701" w:right="1474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37F3"/>
    <w:rsid w:val="001B449B"/>
    <w:rsid w:val="001E0FFC"/>
    <w:rsid w:val="002B6848"/>
    <w:rsid w:val="00301EA9"/>
    <w:rsid w:val="003B4B2E"/>
    <w:rsid w:val="004A0B02"/>
    <w:rsid w:val="004F268C"/>
    <w:rsid w:val="005500AD"/>
    <w:rsid w:val="005937F3"/>
    <w:rsid w:val="005F46BC"/>
    <w:rsid w:val="00651B77"/>
    <w:rsid w:val="006E25AB"/>
    <w:rsid w:val="007B38EC"/>
    <w:rsid w:val="008232A7"/>
    <w:rsid w:val="00836A90"/>
    <w:rsid w:val="0096750E"/>
    <w:rsid w:val="00C445BE"/>
    <w:rsid w:val="00CC65AB"/>
    <w:rsid w:val="00EF0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9" type="connector" idref="#_x0000_s1035"/>
        <o:r id="V:Rule10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A9"/>
    <w:pPr>
      <w:widowControl w:val="0"/>
      <w:jc w:val="both"/>
    </w:pPr>
    <w:rPr>
      <w:rFonts w:ascii="Times New Roman" w:eastAsia="宋体" w:hAnsi="Times New Roman" w:cs="Times New Roman"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A9"/>
    <w:pPr>
      <w:widowControl w:val="0"/>
      <w:jc w:val="both"/>
    </w:pPr>
    <w:rPr>
      <w:rFonts w:ascii="Times New Roman" w:eastAsia="宋体" w:hAnsi="Times New Roman" w:cs="Times New Roman"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499</Characters>
  <Application>Microsoft Office Word</Application>
  <DocSecurity>0</DocSecurity>
  <Lines>4</Lines>
  <Paragraphs>1</Paragraphs>
  <ScaleCrop>false</ScaleCrop>
  <Company>111111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111111</dc:creator>
  <cp:lastModifiedBy>Mr yang</cp:lastModifiedBy>
  <cp:revision>14</cp:revision>
  <cp:lastPrinted>2019-10-31T01:59:00Z</cp:lastPrinted>
  <dcterms:created xsi:type="dcterms:W3CDTF">2019-10-14T15:20:00Z</dcterms:created>
  <dcterms:modified xsi:type="dcterms:W3CDTF">2019-11-04T09:30:00Z</dcterms:modified>
</cp:coreProperties>
</file>